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F79FC" w14:textId="77777777" w:rsidR="00F42E6D" w:rsidRPr="001B1972" w:rsidRDefault="00F42E6D" w:rsidP="00F42E6D">
      <w:pPr>
        <w:tabs>
          <w:tab w:val="right" w:leader="dot" w:pos="8640"/>
        </w:tabs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B1972">
        <w:rPr>
          <w:rFonts w:ascii="Times New Roman" w:eastAsia="Calibri" w:hAnsi="Times New Roman" w:cs="Times New Roman"/>
          <w:b/>
          <w:i/>
          <w:sz w:val="24"/>
          <w:szCs w:val="24"/>
        </w:rPr>
        <w:t>Name of Project: Enhancing Community Resilience Project (THABAT) – AF1</w:t>
      </w:r>
    </w:p>
    <w:p w14:paraId="7B409BA5" w14:textId="352FF89E" w:rsidR="001B1972" w:rsidRPr="001B1972" w:rsidRDefault="00F42E6D" w:rsidP="00F42E6D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B197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Contract Title: </w:t>
      </w:r>
      <w:r w:rsidR="001B1972" w:rsidRPr="001B1972">
        <w:rPr>
          <w:rFonts w:ascii="Times New Roman" w:eastAsia="Calibri" w:hAnsi="Times New Roman" w:cs="Times New Roman"/>
          <w:b/>
          <w:i/>
          <w:sz w:val="24"/>
          <w:szCs w:val="24"/>
        </w:rPr>
        <w:t>Supply, Installation, Testing, Commissioning, and Handover of Post-Harvest Agribusiness Processing Equipment for Six (6) Consumer Cooperative Hubs</w:t>
      </w:r>
    </w:p>
    <w:p w14:paraId="19C2E667" w14:textId="77777777" w:rsidR="00F42E6D" w:rsidRPr="001B1972" w:rsidRDefault="00F42E6D" w:rsidP="00F42E6D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B1972">
        <w:rPr>
          <w:rFonts w:ascii="Times New Roman" w:eastAsia="Calibri" w:hAnsi="Times New Roman" w:cs="Times New Roman"/>
          <w:b/>
          <w:i/>
          <w:sz w:val="24"/>
          <w:szCs w:val="24"/>
        </w:rPr>
        <w:t>Loan No./Credit No./ Grant No.: TF-C7102</w:t>
      </w:r>
    </w:p>
    <w:p w14:paraId="650DD036" w14:textId="68D4E60A" w:rsidR="00F42E6D" w:rsidRPr="001B1972" w:rsidRDefault="00F42E6D" w:rsidP="00F42E6D">
      <w:pPr>
        <w:tabs>
          <w:tab w:val="right" w:leader="dot" w:pos="8640"/>
        </w:tabs>
        <w:spacing w:before="120"/>
        <w:ind w:left="-86" w:right="-86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B197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RFB Reference No.: </w:t>
      </w:r>
      <w:r w:rsidR="001B1972" w:rsidRPr="001B1972">
        <w:rPr>
          <w:rFonts w:ascii="Times New Roman" w:eastAsia="Calibri" w:hAnsi="Times New Roman" w:cs="Times New Roman"/>
          <w:b/>
          <w:i/>
          <w:sz w:val="24"/>
          <w:szCs w:val="24"/>
        </w:rPr>
        <w:t>SD-MC-554246-GO-RFB</w:t>
      </w:r>
    </w:p>
    <w:p w14:paraId="5DF99CCE" w14:textId="0CA056AA" w:rsidR="00F42E6D" w:rsidRPr="001B1972" w:rsidRDefault="00F42E6D" w:rsidP="00F42E6D">
      <w:pPr>
        <w:pStyle w:val="BodyText"/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1972">
        <w:rPr>
          <w:rFonts w:ascii="Times New Roman" w:hAnsi="Times New Roman" w:cs="Times New Roman"/>
          <w:b/>
          <w:sz w:val="28"/>
          <w:szCs w:val="28"/>
          <w:u w:val="single"/>
        </w:rPr>
        <w:t>Clarification to Quer</w:t>
      </w:r>
      <w:r w:rsidR="00162B78">
        <w:rPr>
          <w:rFonts w:ascii="Times New Roman" w:hAnsi="Times New Roman" w:cs="Times New Roman"/>
          <w:b/>
          <w:sz w:val="28"/>
          <w:szCs w:val="28"/>
          <w:u w:val="single"/>
        </w:rPr>
        <w:t>y</w:t>
      </w:r>
    </w:p>
    <w:p w14:paraId="3920AAD2" w14:textId="48F51462" w:rsidR="00674155" w:rsidRPr="001B1972" w:rsidRDefault="00674155">
      <w:pPr>
        <w:spacing w:before="60" w:after="6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972">
        <w:rPr>
          <w:rFonts w:ascii="Times New Roman" w:hAnsi="Times New Roman" w:cs="Times New Roman"/>
          <w:color w:val="000000" w:themeColor="text1"/>
          <w:sz w:val="24"/>
          <w:szCs w:val="24"/>
        </w:rPr>
        <w:t>Dear Sirs,</w:t>
      </w:r>
    </w:p>
    <w:p w14:paraId="6DA58C1F" w14:textId="53B3BF77" w:rsidR="003369D7" w:rsidRPr="001B1972" w:rsidRDefault="003369D7" w:rsidP="004F56EC">
      <w:pPr>
        <w:spacing w:before="240" w:after="24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69D7">
        <w:rPr>
          <w:rFonts w:ascii="Times New Roman" w:hAnsi="Times New Roman" w:cs="Times New Roman"/>
          <w:color w:val="000000" w:themeColor="text1"/>
          <w:sz w:val="24"/>
          <w:szCs w:val="24"/>
        </w:rPr>
        <w:t>Please find below Mercy Corps’ responses to the clarification queries raised in relation to the issued Bidding Document for the subject tender, for your consideration in preparing your Bids.</w:t>
      </w:r>
    </w:p>
    <w:p w14:paraId="74032746" w14:textId="173D0060" w:rsidR="00DB24C9" w:rsidRPr="001B1972" w:rsidRDefault="00DB24C9" w:rsidP="004F56EC">
      <w:pPr>
        <w:spacing w:before="120" w:after="120" w:line="288" w:lineRule="auto"/>
        <w:rPr>
          <w:rFonts w:ascii="Times New Roman" w:hAnsi="Times New Roman" w:cs="Times New Roman"/>
          <w:color w:val="000000" w:themeColor="text1"/>
        </w:rPr>
      </w:pPr>
      <w:r w:rsidRPr="001B19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Clarification Question and Mercy Corps Response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4819"/>
        <w:gridCol w:w="4320"/>
      </w:tblGrid>
      <w:tr w:rsidR="001B1972" w:rsidRPr="001B1972" w14:paraId="41CDC3D4" w14:textId="687F3215" w:rsidTr="000C7544">
        <w:trPr>
          <w:tblHeader/>
        </w:trPr>
        <w:tc>
          <w:tcPr>
            <w:tcW w:w="580" w:type="dxa"/>
            <w:tcBorders>
              <w:top w:val="single" w:sz="1" w:space="0" w:color="BDBDBD"/>
              <w:left w:val="single" w:sz="1" w:space="0" w:color="BDBDBD"/>
              <w:bottom w:val="single" w:sz="1" w:space="0" w:color="BDBDBD"/>
              <w:right w:val="single" w:sz="1" w:space="0" w:color="BDBDBD"/>
            </w:tcBorders>
            <w:shd w:val="clear" w:color="auto" w:fill="D9D9D9" w:themeFill="background1" w:themeFillShade="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2228E7" w14:textId="09B30DD3" w:rsidR="001B1972" w:rsidRPr="001B1972" w:rsidRDefault="001B1972" w:rsidP="00DB24C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B19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Q#</w:t>
            </w:r>
          </w:p>
        </w:tc>
        <w:tc>
          <w:tcPr>
            <w:tcW w:w="4819" w:type="dxa"/>
            <w:tcBorders>
              <w:top w:val="single" w:sz="1" w:space="0" w:color="BDBDBD"/>
              <w:left w:val="single" w:sz="1" w:space="0" w:color="BDBDBD"/>
              <w:bottom w:val="single" w:sz="1" w:space="0" w:color="BDBDBD"/>
              <w:right w:val="single" w:sz="1" w:space="0" w:color="BDBDBD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087E5AF" w14:textId="77777777" w:rsidR="001B1972" w:rsidRPr="001B1972" w:rsidRDefault="001B1972" w:rsidP="00DB24C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B19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Clarification Question</w:t>
            </w:r>
          </w:p>
        </w:tc>
        <w:tc>
          <w:tcPr>
            <w:tcW w:w="4320" w:type="dxa"/>
            <w:tcBorders>
              <w:top w:val="single" w:sz="1" w:space="0" w:color="BDBDBD"/>
              <w:left w:val="single" w:sz="1" w:space="0" w:color="BDBDBD"/>
              <w:bottom w:val="single" w:sz="1" w:space="0" w:color="BDBDBD"/>
              <w:right w:val="single" w:sz="1" w:space="0" w:color="BDBDBD"/>
            </w:tcBorders>
            <w:shd w:val="clear" w:color="auto" w:fill="D9D9D9" w:themeFill="background1" w:themeFillShade="D9"/>
          </w:tcPr>
          <w:p w14:paraId="72B13B4C" w14:textId="56868861" w:rsidR="001B1972" w:rsidRPr="001B1972" w:rsidRDefault="001B1972" w:rsidP="004F56EC">
            <w:pPr>
              <w:ind w:left="151" w:right="16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B19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Mercy Corps Response</w:t>
            </w:r>
          </w:p>
        </w:tc>
      </w:tr>
      <w:tr w:rsidR="001B1972" w:rsidRPr="001B1972" w14:paraId="0D87EBCB" w14:textId="143CD37D" w:rsidTr="000C7544">
        <w:tc>
          <w:tcPr>
            <w:tcW w:w="580" w:type="dxa"/>
            <w:tcBorders>
              <w:top w:val="single" w:sz="1" w:space="0" w:color="BDBDBD"/>
              <w:left w:val="single" w:sz="1" w:space="0" w:color="BDBDBD"/>
              <w:bottom w:val="single" w:sz="1" w:space="0" w:color="BDBDBD"/>
              <w:right w:val="single" w:sz="1" w:space="0" w:color="BDBDBD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DDE65AC" w14:textId="77777777" w:rsidR="001B1972" w:rsidRPr="001B1972" w:rsidRDefault="001B1972" w:rsidP="004F56EC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19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Q1</w:t>
            </w:r>
          </w:p>
        </w:tc>
        <w:tc>
          <w:tcPr>
            <w:tcW w:w="4819" w:type="dxa"/>
            <w:tcBorders>
              <w:top w:val="single" w:sz="1" w:space="0" w:color="BDBDBD"/>
              <w:left w:val="single" w:sz="1" w:space="0" w:color="BDBDBD"/>
              <w:bottom w:val="single" w:sz="1" w:space="0" w:color="BDBDBD"/>
              <w:right w:val="single" w:sz="1" w:space="0" w:color="BDBDBD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41C59C3" w14:textId="77777777" w:rsidR="00162B78" w:rsidRDefault="00162B78" w:rsidP="00162B78">
            <w:pPr>
              <w:spacing w:before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B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Lighting/Fan Solar System – Item No. 6 of Amendment No. 3</w:t>
            </w:r>
          </w:p>
          <w:p w14:paraId="18EC9A8C" w14:textId="77777777" w:rsidR="00162B78" w:rsidRPr="00162B78" w:rsidRDefault="00162B78" w:rsidP="00162B78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14:paraId="2BDD3AC6" w14:textId="5EAC740A" w:rsidR="00162B78" w:rsidRDefault="00162B78" w:rsidP="00162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item no.6 in Amendment no.3 suggests </w:t>
            </w:r>
            <w:proofErr w:type="gramStart"/>
            <w:r w:rsidRPr="00162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162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r w:rsidRPr="00162B7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 separately wired lighting/fan system with four (4) 645 W panels and one 3 kVA inverter.",</w:t>
            </w:r>
            <w:r w:rsidRPr="00162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yet fails to elaborate on accessories, batteries, panel support structure, and cables for the lighting/fan system.</w:t>
            </w:r>
          </w:p>
          <w:p w14:paraId="1D24E375" w14:textId="77777777" w:rsidR="00162B78" w:rsidRPr="00162B78" w:rsidRDefault="00162B78" w:rsidP="00162B78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14:paraId="27EF402B" w14:textId="5CF3558E" w:rsidR="00162B78" w:rsidRPr="001B1972" w:rsidRDefault="00162B78" w:rsidP="004F56EC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Please elaborate on this.</w:t>
            </w:r>
          </w:p>
        </w:tc>
        <w:tc>
          <w:tcPr>
            <w:tcW w:w="4320" w:type="dxa"/>
            <w:tcBorders>
              <w:top w:val="single" w:sz="1" w:space="0" w:color="BDBDBD"/>
              <w:left w:val="single" w:sz="1" w:space="0" w:color="BDBDBD"/>
              <w:bottom w:val="single" w:sz="1" w:space="0" w:color="BDBDBD"/>
              <w:right w:val="single" w:sz="1" w:space="0" w:color="BDBDBD"/>
            </w:tcBorders>
            <w:shd w:val="clear" w:color="auto" w:fill="FFFFFF" w:themeFill="background1"/>
          </w:tcPr>
          <w:p w14:paraId="7C8A2611" w14:textId="143F38DF" w:rsidR="00162B78" w:rsidRPr="003369D7" w:rsidRDefault="00162B78" w:rsidP="004F56EC">
            <w:pPr>
              <w:spacing w:before="60" w:after="60"/>
              <w:ind w:left="151" w:right="166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62B7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For the additional solar unit, we expect the vendor to </w:t>
            </w:r>
            <w:r w:rsidRPr="00162B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supply all required accessories</w:t>
            </w:r>
            <w:r w:rsidRPr="00162B7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listed above for the main solar unit (where applicable) and necessary for installation. </w:t>
            </w:r>
            <w:r w:rsidRPr="00162B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No battery is required</w:t>
            </w:r>
            <w:r w:rsidRPr="00162B7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as the hub will operate during daytime only.</w:t>
            </w:r>
          </w:p>
        </w:tc>
      </w:tr>
    </w:tbl>
    <w:p w14:paraId="2A756956" w14:textId="77777777" w:rsidR="00D7218C" w:rsidRPr="001B1972" w:rsidRDefault="00000000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1B197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07FA9513" w14:textId="385B145E" w:rsidR="00F42E6D" w:rsidRPr="001B1972" w:rsidRDefault="00F42E6D" w:rsidP="009A1035">
      <w:pPr>
        <w:pStyle w:val="ListParagraph"/>
        <w:tabs>
          <w:tab w:val="left" w:pos="-5580"/>
          <w:tab w:val="center" w:pos="4535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1B1972">
        <w:rPr>
          <w:rFonts w:ascii="Times New Roman" w:hAnsi="Times New Roman" w:cs="Times New Roman"/>
          <w:b/>
          <w:i/>
          <w:sz w:val="24"/>
          <w:szCs w:val="24"/>
          <w:lang w:val="en-GB"/>
        </w:rPr>
        <w:t>~~~End of Clarification to Quer</w:t>
      </w:r>
      <w:r w:rsidR="00162B78">
        <w:rPr>
          <w:rFonts w:ascii="Times New Roman" w:hAnsi="Times New Roman" w:cs="Times New Roman"/>
          <w:b/>
          <w:i/>
          <w:sz w:val="24"/>
          <w:szCs w:val="24"/>
          <w:lang w:val="en-GB"/>
        </w:rPr>
        <w:t>y</w:t>
      </w:r>
      <w:r w:rsidRPr="001B1972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~~~</w:t>
      </w:r>
    </w:p>
    <w:p w14:paraId="09A8351F" w14:textId="77777777" w:rsidR="003369D7" w:rsidRPr="001B1972" w:rsidRDefault="003369D7">
      <w:pPr>
        <w:pStyle w:val="ListParagraph"/>
        <w:tabs>
          <w:tab w:val="left" w:pos="-5580"/>
          <w:tab w:val="center" w:pos="4535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sectPr w:rsidR="003369D7" w:rsidRPr="001B1972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A35E" w14:textId="77777777" w:rsidR="00F05572" w:rsidRDefault="00F05572">
      <w:r>
        <w:separator/>
      </w:r>
    </w:p>
  </w:endnote>
  <w:endnote w:type="continuationSeparator" w:id="0">
    <w:p w14:paraId="5C674DA6" w14:textId="77777777" w:rsidR="00F05572" w:rsidRDefault="00F0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B3C7" w14:textId="416BB16A" w:rsidR="00F42E6D" w:rsidRPr="00F42E6D" w:rsidRDefault="00F42E6D" w:rsidP="00F42E6D">
    <w:pPr>
      <w:pStyle w:val="Footer"/>
      <w:pBdr>
        <w:top w:val="single" w:sz="4" w:space="1" w:color="auto"/>
      </w:pBdr>
      <w:rPr>
        <w:rFonts w:ascii="Candara" w:hAnsi="Candara"/>
        <w:sz w:val="20"/>
        <w:szCs w:val="16"/>
      </w:rPr>
    </w:pPr>
    <w:r>
      <w:rPr>
        <w:rFonts w:ascii="Candara" w:hAnsi="Candara"/>
        <w:sz w:val="20"/>
        <w:szCs w:val="16"/>
      </w:rPr>
      <w:t>Clarification to Quer</w:t>
    </w:r>
    <w:r w:rsidR="00162B78">
      <w:rPr>
        <w:rFonts w:ascii="Candara" w:hAnsi="Candara"/>
        <w:sz w:val="20"/>
        <w:szCs w:val="16"/>
      </w:rPr>
      <w:t>y</w:t>
    </w:r>
    <w:r w:rsidRPr="009D6EF5">
      <w:rPr>
        <w:rFonts w:ascii="Candara" w:hAnsi="Candara"/>
        <w:sz w:val="20"/>
        <w:szCs w:val="16"/>
      </w:rPr>
      <w:t xml:space="preserve">                    </w:t>
    </w:r>
    <w:r w:rsidRPr="009D6EF5">
      <w:rPr>
        <w:rFonts w:ascii="Candara" w:hAnsi="Candara"/>
        <w:sz w:val="20"/>
        <w:szCs w:val="16"/>
      </w:rPr>
      <w:tab/>
    </w:r>
    <w:r w:rsidRPr="009D6EF5">
      <w:rPr>
        <w:rFonts w:ascii="Candara" w:hAnsi="Candara"/>
        <w:sz w:val="20"/>
        <w:szCs w:val="16"/>
      </w:rPr>
      <w:fldChar w:fldCharType="begin"/>
    </w:r>
    <w:r w:rsidRPr="009D6EF5">
      <w:rPr>
        <w:rFonts w:ascii="Candara" w:hAnsi="Candara"/>
        <w:sz w:val="20"/>
        <w:szCs w:val="16"/>
      </w:rPr>
      <w:instrText xml:space="preserve"> PAGE   \* MERGEFORMAT </w:instrText>
    </w:r>
    <w:r w:rsidRPr="009D6EF5">
      <w:rPr>
        <w:rFonts w:ascii="Candara" w:hAnsi="Candara"/>
        <w:sz w:val="20"/>
        <w:szCs w:val="16"/>
      </w:rPr>
      <w:fldChar w:fldCharType="separate"/>
    </w:r>
    <w:r>
      <w:rPr>
        <w:rFonts w:ascii="Candara" w:hAnsi="Candara"/>
        <w:sz w:val="20"/>
        <w:szCs w:val="16"/>
      </w:rPr>
      <w:t>1</w:t>
    </w:r>
    <w:r w:rsidRPr="009D6EF5">
      <w:rPr>
        <w:rFonts w:ascii="Candara" w:hAnsi="Candara"/>
        <w:sz w:val="20"/>
        <w:szCs w:val="16"/>
      </w:rPr>
      <w:fldChar w:fldCharType="end"/>
    </w:r>
    <w:r w:rsidRPr="009D6EF5">
      <w:rPr>
        <w:rFonts w:ascii="Candara" w:hAnsi="Candara"/>
        <w:sz w:val="20"/>
        <w:szCs w:val="16"/>
      </w:rPr>
      <w:t xml:space="preserve"> | </w:t>
    </w:r>
    <w:r w:rsidRPr="009D6EF5">
      <w:rPr>
        <w:rFonts w:ascii="Candara" w:hAnsi="Candara"/>
        <w:color w:val="7F7F7F"/>
        <w:spacing w:val="60"/>
        <w:sz w:val="20"/>
        <w:szCs w:val="16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0425" w14:textId="77777777" w:rsidR="00F05572" w:rsidRDefault="00F05572">
      <w:r>
        <w:separator/>
      </w:r>
    </w:p>
  </w:footnote>
  <w:footnote w:type="continuationSeparator" w:id="0">
    <w:p w14:paraId="24EAD673" w14:textId="77777777" w:rsidR="00F05572" w:rsidRDefault="00F05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8" w:type="dxa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930"/>
      <w:gridCol w:w="2268"/>
    </w:tblGrid>
    <w:tr w:rsidR="00F42E6D" w:rsidRPr="00A925DD" w14:paraId="61244AEB" w14:textId="77777777" w:rsidTr="00624A3C">
      <w:trPr>
        <w:trHeight w:val="73"/>
        <w:jc w:val="center"/>
      </w:trPr>
      <w:tc>
        <w:tcPr>
          <w:tcW w:w="6930" w:type="dxa"/>
          <w:vAlign w:val="bottom"/>
        </w:tcPr>
        <w:p w14:paraId="620EAB06" w14:textId="04A9B6F5" w:rsidR="00F42E6D" w:rsidRPr="001B1972" w:rsidRDefault="001B1972" w:rsidP="00F42E6D">
          <w:pPr>
            <w:spacing w:after="40"/>
            <w:ind w:left="-86" w:right="73"/>
            <w:rPr>
              <w:rFonts w:ascii="Candara" w:eastAsia="Calibri" w:hAnsi="Candara"/>
              <w:b/>
              <w:bCs/>
              <w:sz w:val="18"/>
            </w:rPr>
          </w:pPr>
          <w:r w:rsidRPr="001B1972">
            <w:rPr>
              <w:rFonts w:ascii="Candara" w:hAnsi="Candara"/>
              <w:sz w:val="18"/>
              <w:szCs w:val="18"/>
            </w:rPr>
            <w:t>Supply, Installation, Testing, Commissioning, and Handover of Post-Harvest Agribusiness Processing Equipment for Six (6) Consumer Cooperative Hubs</w:t>
          </w:r>
        </w:p>
      </w:tc>
      <w:tc>
        <w:tcPr>
          <w:tcW w:w="2268" w:type="dxa"/>
        </w:tcPr>
        <w:p w14:paraId="67C3E490" w14:textId="77777777" w:rsidR="00F42E6D" w:rsidRPr="00281511" w:rsidRDefault="00F42E6D" w:rsidP="00F42E6D">
          <w:pPr>
            <w:ind w:left="-105" w:right="-108"/>
            <w:jc w:val="right"/>
            <w:rPr>
              <w:rFonts w:ascii="Candara" w:hAnsi="Candara"/>
              <w:sz w:val="18"/>
              <w:szCs w:val="18"/>
            </w:rPr>
          </w:pPr>
          <w:r>
            <w:rPr>
              <w:rFonts w:ascii="Candara" w:hAnsi="Candara"/>
              <w:sz w:val="18"/>
              <w:szCs w:val="18"/>
            </w:rPr>
            <w:t xml:space="preserve">Mercy Corps </w:t>
          </w:r>
        </w:p>
      </w:tc>
    </w:tr>
  </w:tbl>
  <w:p w14:paraId="0BB7FEAC" w14:textId="77777777" w:rsidR="00F42E6D" w:rsidRDefault="00F42E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C4F84"/>
    <w:multiLevelType w:val="hybridMultilevel"/>
    <w:tmpl w:val="A5AA1D8A"/>
    <w:lvl w:ilvl="0" w:tplc="88C6A6C8">
      <w:start w:val="1"/>
      <w:numFmt w:val="bullet"/>
      <w:lvlText w:val="●"/>
      <w:lvlJc w:val="left"/>
      <w:pPr>
        <w:ind w:left="720" w:hanging="360"/>
      </w:pPr>
    </w:lvl>
    <w:lvl w:ilvl="1" w:tplc="C14044EC">
      <w:start w:val="1"/>
      <w:numFmt w:val="bullet"/>
      <w:lvlText w:val="○"/>
      <w:lvlJc w:val="left"/>
      <w:pPr>
        <w:ind w:left="1440" w:hanging="360"/>
      </w:pPr>
    </w:lvl>
    <w:lvl w:ilvl="2" w:tplc="966C43B6">
      <w:start w:val="1"/>
      <w:numFmt w:val="bullet"/>
      <w:lvlText w:val="■"/>
      <w:lvlJc w:val="left"/>
      <w:pPr>
        <w:ind w:left="2160" w:hanging="360"/>
      </w:pPr>
    </w:lvl>
    <w:lvl w:ilvl="3" w:tplc="05B2C4F4">
      <w:start w:val="1"/>
      <w:numFmt w:val="bullet"/>
      <w:lvlText w:val="●"/>
      <w:lvlJc w:val="left"/>
      <w:pPr>
        <w:ind w:left="2880" w:hanging="360"/>
      </w:pPr>
    </w:lvl>
    <w:lvl w:ilvl="4" w:tplc="600ABD94">
      <w:start w:val="1"/>
      <w:numFmt w:val="bullet"/>
      <w:lvlText w:val="○"/>
      <w:lvlJc w:val="left"/>
      <w:pPr>
        <w:ind w:left="3600" w:hanging="360"/>
      </w:pPr>
    </w:lvl>
    <w:lvl w:ilvl="5" w:tplc="5D80783A">
      <w:start w:val="1"/>
      <w:numFmt w:val="bullet"/>
      <w:lvlText w:val="■"/>
      <w:lvlJc w:val="left"/>
      <w:pPr>
        <w:ind w:left="4320" w:hanging="360"/>
      </w:pPr>
    </w:lvl>
    <w:lvl w:ilvl="6" w:tplc="E3C6B0AC">
      <w:start w:val="1"/>
      <w:numFmt w:val="bullet"/>
      <w:lvlText w:val="●"/>
      <w:lvlJc w:val="left"/>
      <w:pPr>
        <w:ind w:left="5040" w:hanging="360"/>
      </w:pPr>
    </w:lvl>
    <w:lvl w:ilvl="7" w:tplc="42DC5E40">
      <w:start w:val="1"/>
      <w:numFmt w:val="bullet"/>
      <w:lvlText w:val="●"/>
      <w:lvlJc w:val="left"/>
      <w:pPr>
        <w:ind w:left="5760" w:hanging="360"/>
      </w:pPr>
    </w:lvl>
    <w:lvl w:ilvl="8" w:tplc="3E469334">
      <w:start w:val="1"/>
      <w:numFmt w:val="bullet"/>
      <w:lvlText w:val="●"/>
      <w:lvlJc w:val="left"/>
      <w:pPr>
        <w:ind w:left="6480" w:hanging="360"/>
      </w:pPr>
    </w:lvl>
  </w:abstractNum>
  <w:num w:numId="1" w16cid:durableId="20308330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8C"/>
    <w:rsid w:val="000C7544"/>
    <w:rsid w:val="00162B78"/>
    <w:rsid w:val="001B1972"/>
    <w:rsid w:val="001B76A3"/>
    <w:rsid w:val="001E0863"/>
    <w:rsid w:val="00303D37"/>
    <w:rsid w:val="003369D7"/>
    <w:rsid w:val="004C3FDC"/>
    <w:rsid w:val="004F56EC"/>
    <w:rsid w:val="005E210C"/>
    <w:rsid w:val="00674155"/>
    <w:rsid w:val="00974A77"/>
    <w:rsid w:val="009A1035"/>
    <w:rsid w:val="00A413A4"/>
    <w:rsid w:val="00BA5CA4"/>
    <w:rsid w:val="00C92D55"/>
    <w:rsid w:val="00D6386F"/>
    <w:rsid w:val="00D7218C"/>
    <w:rsid w:val="00DB24C9"/>
    <w:rsid w:val="00DB5D33"/>
    <w:rsid w:val="00EB5E79"/>
    <w:rsid w:val="00EF24DB"/>
    <w:rsid w:val="00F05572"/>
    <w:rsid w:val="00F23724"/>
    <w:rsid w:val="00F42E6D"/>
    <w:rsid w:val="00FB5AF5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A5DEF"/>
  <w15:docId w15:val="{B68A36B8-ED88-494C-9D67-493CDC96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B5E20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37474F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aliases w:val="Citation List,본문(내용),List Paragraph (numbered (a)),Bullets,List Paragraph1,Casella di testo,Indent Paragraph,Heading II,List Paragraph11,Numbered List Paragraph,Main numbered paragraph,Colorful List - Accent 11,References,TOR Heading 1"/>
    <w:link w:val="ListParagraphChar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2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10C"/>
  </w:style>
  <w:style w:type="paragraph" w:styleId="Footer">
    <w:name w:val="footer"/>
    <w:basedOn w:val="Normal"/>
    <w:link w:val="FooterChar"/>
    <w:uiPriority w:val="99"/>
    <w:unhideWhenUsed/>
    <w:rsid w:val="005E2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10C"/>
  </w:style>
  <w:style w:type="character" w:styleId="CommentReference">
    <w:name w:val="annotation reference"/>
    <w:basedOn w:val="DefaultParagraphFont"/>
    <w:uiPriority w:val="99"/>
    <w:semiHidden/>
    <w:unhideWhenUsed/>
    <w:rsid w:val="005E2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1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10C"/>
    <w:rPr>
      <w:sz w:val="20"/>
      <w:szCs w:val="20"/>
    </w:rPr>
  </w:style>
  <w:style w:type="character" w:customStyle="1" w:styleId="ListParagraphChar">
    <w:name w:val="List Paragraph Char"/>
    <w:aliases w:val="Citation List Char,본문(내용) Char,List Paragraph (numbered (a)) Char,Bullets Char,List Paragraph1 Char,Casella di testo Char,Indent Paragraph Char,Heading II Char,List Paragraph11 Char,Numbered List Paragraph Char,References Char"/>
    <w:basedOn w:val="DefaultParagraphFont"/>
    <w:link w:val="ListParagraph"/>
    <w:uiPriority w:val="34"/>
    <w:qFormat/>
    <w:rsid w:val="00F42E6D"/>
  </w:style>
  <w:style w:type="paragraph" w:styleId="BodyText">
    <w:name w:val="Body Text"/>
    <w:basedOn w:val="Normal"/>
    <w:link w:val="BodyTextChar"/>
    <w:uiPriority w:val="1"/>
    <w:qFormat/>
    <w:rsid w:val="00F42E6D"/>
    <w:pPr>
      <w:widowControl w:val="0"/>
      <w:autoSpaceDE w:val="0"/>
      <w:autoSpaceDN w:val="0"/>
    </w:pPr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42E6D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Dawit Abafita</cp:lastModifiedBy>
  <cp:revision>2</cp:revision>
  <dcterms:created xsi:type="dcterms:W3CDTF">2026-09-08T07:10:00Z</dcterms:created>
  <dcterms:modified xsi:type="dcterms:W3CDTF">2026-09-08T07:10:00Z</dcterms:modified>
</cp:coreProperties>
</file>